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695" w:rsidRPr="00B04695" w:rsidRDefault="00B04695" w:rsidP="00B04695">
      <w:pPr>
        <w:pStyle w:val="2"/>
        <w:ind w:firstLine="0"/>
        <w:jc w:val="right"/>
        <w:rPr>
          <w:b/>
          <w:bCs/>
          <w:sz w:val="28"/>
          <w:szCs w:val="28"/>
        </w:rPr>
      </w:pPr>
      <w:bookmarkStart w:id="0" w:name="_GoBack"/>
      <w:bookmarkEnd w:id="0"/>
      <w:r w:rsidRPr="00B04695">
        <w:rPr>
          <w:b/>
          <w:bCs/>
          <w:sz w:val="28"/>
          <w:szCs w:val="28"/>
        </w:rPr>
        <w:t xml:space="preserve">Приложение </w:t>
      </w:r>
      <w:bookmarkStart w:id="1" w:name="OLE_LINK1"/>
      <w:r w:rsidRPr="00B04695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2</w:t>
      </w:r>
      <w:r w:rsidRPr="00B04695">
        <w:rPr>
          <w:b/>
          <w:bCs/>
          <w:sz w:val="28"/>
          <w:szCs w:val="28"/>
        </w:rPr>
        <w:t xml:space="preserve"> к телефонограмме</w:t>
      </w:r>
    </w:p>
    <w:p w:rsidR="00B04695" w:rsidRPr="00B04695" w:rsidRDefault="00B04695" w:rsidP="00B04695">
      <w:pPr>
        <w:pStyle w:val="2"/>
        <w:jc w:val="right"/>
        <w:rPr>
          <w:b/>
          <w:bCs/>
          <w:sz w:val="28"/>
          <w:szCs w:val="28"/>
        </w:rPr>
      </w:pPr>
      <w:r w:rsidRPr="00B04695">
        <w:rPr>
          <w:b/>
          <w:bCs/>
          <w:sz w:val="28"/>
          <w:szCs w:val="28"/>
        </w:rPr>
        <w:t>Главного управления МЧС России по г. Москве</w:t>
      </w:r>
    </w:p>
    <w:p w:rsidR="00B04695" w:rsidRPr="00B04695" w:rsidRDefault="00B04695" w:rsidP="00B04695">
      <w:pPr>
        <w:pStyle w:val="2"/>
        <w:ind w:firstLine="0"/>
        <w:jc w:val="right"/>
        <w:rPr>
          <w:b/>
          <w:bCs/>
          <w:sz w:val="28"/>
          <w:szCs w:val="28"/>
          <w:u w:val="single"/>
        </w:rPr>
      </w:pPr>
      <w:r w:rsidRPr="00B04695">
        <w:rPr>
          <w:b/>
          <w:bCs/>
          <w:sz w:val="28"/>
          <w:szCs w:val="28"/>
        </w:rPr>
        <w:t>от «</w:t>
      </w:r>
      <w:r w:rsidRPr="00B04695">
        <w:rPr>
          <w:b/>
          <w:bCs/>
          <w:sz w:val="28"/>
          <w:szCs w:val="28"/>
          <w:u w:val="single"/>
        </w:rPr>
        <w:t xml:space="preserve"> 30 </w:t>
      </w:r>
      <w:r w:rsidRPr="00B04695">
        <w:rPr>
          <w:b/>
          <w:bCs/>
          <w:sz w:val="28"/>
          <w:szCs w:val="28"/>
        </w:rPr>
        <w:t>» ноября 2015 года №</w:t>
      </w:r>
      <w:r w:rsidRPr="00B04695">
        <w:rPr>
          <w:b/>
          <w:bCs/>
          <w:sz w:val="28"/>
          <w:szCs w:val="28"/>
          <w:u w:val="single"/>
        </w:rPr>
        <w:t xml:space="preserve">                   -4-1</w:t>
      </w:r>
      <w:bookmarkEnd w:id="1"/>
    </w:p>
    <w:p w:rsidR="00B04695" w:rsidRDefault="00B04695">
      <w:pPr>
        <w:pStyle w:val="2"/>
        <w:ind w:firstLine="0"/>
        <w:rPr>
          <w:b/>
          <w:bCs/>
          <w:sz w:val="28"/>
          <w:szCs w:val="28"/>
        </w:rPr>
      </w:pPr>
    </w:p>
    <w:p w:rsidR="008E6B5C" w:rsidRDefault="008E6B5C">
      <w:pPr>
        <w:pStyle w:val="2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Н С Т </w:t>
      </w: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У К Ц И Я</w:t>
      </w:r>
    </w:p>
    <w:p w:rsidR="008E6B5C" w:rsidRDefault="008E6B5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мерах пожарной безопасности при организации и проведении новогодних и рождественских мероприятий с массовым пребыванием людей</w:t>
      </w:r>
    </w:p>
    <w:p w:rsidR="008E6B5C" w:rsidRDefault="008E6B5C">
      <w:pPr>
        <w:ind w:firstLine="709"/>
        <w:jc w:val="both"/>
        <w:rPr>
          <w:sz w:val="28"/>
          <w:szCs w:val="28"/>
        </w:rPr>
      </w:pP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за выполнение настоящей инструкции возлагается на руководителей учреждений культуры, спорта, социальной сферы, здравоохранения, образования, общественного питания и других объектов с массовым пребыванием людей. 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Лица ответственные за обеспечение пожарной безопасности перечисленных выше учреждений - ОБЯЗАНЫ: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Ознакомить под роспись весь обслуживающий персонал с требованиями настоящей инструкции и соответствующих правил пожарной безопасности, распространяющиеся на детские, школьные и культурно-зрелищные учреждения, а также об их обязанностях на случай возникновения пожара, о порядке эвакуации людей и документации, способах использования средств пожаротушения.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Установить строгий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мероприятий, изложенных в настоящей инструкции, и принять неотложные меры к устранению выявленных нарушений правил пожарной безопасности.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Предусмотреть во всех помещениях необходимое количество средств пожаротушения и содержать их в исправном состоянии. Проверить исправность и работоспособность противопожарной автоматики, а также работу внутренних пожарных кранов и насосов-повысителей с пуском воды. При необходимости провести их ремонт, дверцы шкафчиков пожарных кранов после проверки опломбировать.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Не допускать применение электронагревательных бытовых приборов, эксплуатацию неисправного электроосвещения, некалиброванных предохранителей, а также не оставлять без надзора включенные в сеть телевизоры, радиоприемники, магнитофоны и другие электроприборы.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Обеспечить надлежащее содержание эвакуационных выходов, которые должны быть свободными, оборудованы аварийным освещением от независимого источника электропитания. На дверях, предназначенных для эвакуации людей, установить фонари с зелеными стеклами и надписью «Выход», а в коридорах развесить указательные знаки (стрелки). Стены на путях эвакуации не должны быть облицованы горючим материалом.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Не загромождать проходы, выходы и подступы к средствам пожаротушения, не закрывать двери эвакуационных выходов на замки. Двери на путях эвакуации должны открываться по направлению выхода из здания.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Исключить возможность доступа посторонних лиц в другие помещения, не связанные с проведением мероприятий. Двери этих помещений должны быть закрыты на замки и опломбированы.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Обеспечить режим курения в строгом соответствии с действующим Федеральным законодательством.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>Очистить территории дворов, чердачные и подвальные помещения от горючих материалов и мусора, входы в чердаки и подвалы закрыть на замки.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Обеспечить проведение тщательного противопожарного осмотра помещений по </w:t>
      </w:r>
      <w:proofErr w:type="gramStart"/>
      <w:r>
        <w:rPr>
          <w:sz w:val="28"/>
          <w:szCs w:val="28"/>
        </w:rPr>
        <w:t>окончании</w:t>
      </w:r>
      <w:proofErr w:type="gramEnd"/>
      <w:r>
        <w:rPr>
          <w:sz w:val="28"/>
          <w:szCs w:val="28"/>
        </w:rPr>
        <w:t xml:space="preserve"> работы (дежурства) перед их закрытием с отметкой в специальном журнале, а также обесточивание электросети и всех токоприемников.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Усилить противопожарную охрану зданий и помещений в дни подготовки и проведения мероприятий, особенно в ночное время и выходные дни. 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Разработать план (схему) эвакуации людей на случай пожара и систему оповещения людей о пожаре с использованием технических средств и специальных текстов.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Запретить хранение и использование огнеопасных и горючих жидкостей, баллонов с газами и других огнеопасных веществ.</w:t>
      </w:r>
    </w:p>
    <w:p w:rsidR="008E6B5C" w:rsidRDefault="008E6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Не допускать в зданиях, предназначенных для проведения мероприятий, проведения электрогазосварочных работ с нарушением требований пожарной безопасности.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При возникновении пожара (загорания) немедленно сообщить о нем в пожарную охрану по городскому </w:t>
      </w:r>
      <w:r>
        <w:rPr>
          <w:b/>
          <w:bCs/>
          <w:sz w:val="28"/>
          <w:szCs w:val="28"/>
        </w:rPr>
        <w:t>телефону «</w:t>
      </w:r>
      <w:r w:rsidR="001E101C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01» </w:t>
      </w:r>
      <w:r>
        <w:rPr>
          <w:sz w:val="28"/>
          <w:szCs w:val="28"/>
        </w:rPr>
        <w:t>(</w:t>
      </w:r>
      <w:r>
        <w:rPr>
          <w:b/>
          <w:bCs/>
          <w:sz w:val="28"/>
          <w:szCs w:val="28"/>
        </w:rPr>
        <w:t xml:space="preserve">или 112 - для </w:t>
      </w:r>
      <w:r w:rsidR="001E101C">
        <w:rPr>
          <w:b/>
          <w:bCs/>
          <w:sz w:val="28"/>
          <w:szCs w:val="28"/>
        </w:rPr>
        <w:t>абонентов Билайн, Мегафон и МТС</w:t>
      </w:r>
      <w:r>
        <w:rPr>
          <w:sz w:val="28"/>
          <w:szCs w:val="28"/>
        </w:rPr>
        <w:t>) с указанием точного адреса, наименования здания, фамилии, номера телефона сообщившего и приступить к эвакуации людей, документации и имущества, а также к тушению огня имеющимися средствами пожаротушения.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Сообщить в территориальные подразделения федеральной противопожарной службы дату и время проведения массовых мероприятий.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Заблаговременно рассмотреть сценарий (программу) выступлений артистов театрально-концертных организаций и художественной самодеятельности, в случае применения в номерах открытого огня, огневых и пиротехнических эффектов, потребовать их запрещения. Проинструктировать о мерах пожарной безопасности участников представлений.</w:t>
      </w:r>
    </w:p>
    <w:p w:rsidR="008E6B5C" w:rsidRDefault="008E6B5C">
      <w:pPr>
        <w:pStyle w:val="21"/>
        <w:rPr>
          <w:sz w:val="28"/>
          <w:szCs w:val="28"/>
        </w:rPr>
      </w:pP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помещениях, где проводятся новогодние вечера, балы и детские утренники, должны соблюдаться следующие требования пожарной безопасности:</w:t>
      </w: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Допускается использовать только помещения, обеспеченные не менее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чем двумя эвакуационными выходами, отвечающими требованиям норм проектирования, не имеющие на окнах решеток и расположенные не выше 2 этажа в зданиях с горючими перекрытиями. Установка елок и проведение мероприятий в деревянных зданиях допускается только в помещениях, расположенных не выше первого этажа.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Во время проведения новогодних мероприятий с детьми неотлучно должен находиться преподаватель, классный руководитель или воспитатель.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Елка должна устанавливаться на устойчивом основании (подставке) и с таким расчетом, чтобы ветви не касались стен и потолка.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При отсутствии в помещении электрического освещения мероприятия у елки должны </w:t>
      </w:r>
      <w:proofErr w:type="gramStart"/>
      <w:r>
        <w:rPr>
          <w:sz w:val="28"/>
          <w:szCs w:val="28"/>
        </w:rPr>
        <w:t>проводится</w:t>
      </w:r>
      <w:proofErr w:type="gramEnd"/>
      <w:r>
        <w:rPr>
          <w:sz w:val="28"/>
          <w:szCs w:val="28"/>
        </w:rPr>
        <w:t xml:space="preserve"> только в светлое время суток.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>Количество присутствующих в помещениях, используемых для проведения новогодних елок, устанавливается из расчета 0,75 кв. м. на человека, а при проведении танцев, игр и подобных им мероприятий - из расчета 1,5 кв. м на одного человека (без учета площади сцены). Заполнение помещений людьми сверх установленной нормы не допускается.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Во время проведения мероприятий двери эвакуационных выходов должны содержаться открытыми, а при проведении мероприятий с детьми у каждой двери зала (помещения) должен находиться дежурный.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Над дверями, предназначенными для эвакуации людей, должны быть установлены светоуказатели зеленого цвета с надписью «ВЫХОД», а в коридорах - указательные знаки. Дежурный персонал должен быть обеспечен исправными электрическими фонарями заводского изготовления.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Иллюминирование елок должно проводиться специалистом - электриком только гирляндами заводского изготовления. Иллюминация должна быть выполнена с соблюдением ПУЭ. При использовании электрической осветительной сети без понижающего трансформатора на елке могут применяться только гирлянды с последовательным включением лампочек напряжением до 12 В. Мощность лампочек не должна превышать 25 Вт. При обнаружении неисправности в иллюминации (нагрев проводов, мигание лампочек, искрение и т.п.) она должна быть немедленно обесточена.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На прилегающей к объекту территории крышки колодцев пожарных гидрантов должны быть очищены от снега и льда, а на стенах зданий установлены светоуказатели их расположения.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Демонтаж елки должен быть проведен не позже следующего дня по </w:t>
      </w:r>
      <w:proofErr w:type="gramStart"/>
      <w:r>
        <w:rPr>
          <w:sz w:val="28"/>
          <w:szCs w:val="28"/>
        </w:rPr>
        <w:t>окончании</w:t>
      </w:r>
      <w:proofErr w:type="gramEnd"/>
      <w:r>
        <w:rPr>
          <w:sz w:val="28"/>
          <w:szCs w:val="28"/>
        </w:rPr>
        <w:t xml:space="preserve"> мероприятий.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 целях предотвращения перегрузки в культурно-зрелищных учреждениях во время представлений должно быть максимально ограничено нахождение в фойе и других помещениях сопровождающих детей взрослых (родителей).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Для формирования и продажи новогодних подарков должно быть определено специальное помещение, отвечающее требованиям пожарной безопасности.</w:t>
      </w: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проведении новогодних мероприятий с массовым пребыванием людей запрещается:</w:t>
      </w: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Использовать пиротехнические изделия в любых помещениях.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Проведение мероприятий при запертых распашных решетках на окнах помещений, в которых они проводятся.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Применять дуговые прожекторы, свечи, хлопушки, устраивать фейерверки и другие световые пожароопасные эффекты, которые могут привести к пожару.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Устанавливать елку вблизи дверей эвакуационных выходов и загромождать коридоры, проходы и подступы к средствам пожаротушения.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Украшать елку целлулоидными игрушками, а также марлей и ватой, не пропитанными огнезащитными составами.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>Применять для оформления помещений, изготовления маскарадных костюмов и т.п. тканевые материалы, вату, игрушки из нее, не обработанные огнезащитным составом, целлулоидные игрушки, изделия из поролона и других легковоспламеняющихся материалов. Одевать детей в костюмы из легкогорючих материалов.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Содержать двери эвакуационных выходов во время представлений на труднооткрываемых запорах (замках). Уменьшать ширину проходов между рядами и устанавливать в проходах дополнительные кресла и стулья. Допускать заполнение помещений людьми сверх установленной нормы.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Полностью гасить свет в помещении во время спектаклей или представлений. Использовать ставни на окнах для затемнения помещений.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Применять самодельные электрогирлянды, цветомузыкальные установки, электромузыкальную аппаратуру, устройства для вращения елок и создания эффектов мигания елочных гирлянд.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Устанавливать на путях эвакуации киоски по выдаче и продаже новогодних подарков.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Проводить ремонтные, окрасочные, огневые, сварочные и другие пожароопасные и взрывопожароопасные работы.</w:t>
      </w:r>
    </w:p>
    <w:p w:rsidR="008E6B5C" w:rsidRDefault="008E6B5C">
      <w:pPr>
        <w:pStyle w:val="21"/>
        <w:rPr>
          <w:sz w:val="28"/>
          <w:szCs w:val="28"/>
        </w:rPr>
      </w:pP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использовании пиротехнических изделий запрещается:</w:t>
      </w:r>
    </w:p>
    <w:p w:rsidR="008E6B5C" w:rsidRDefault="008E6B5C">
      <w:pPr>
        <w:pStyle w:val="21"/>
        <w:rPr>
          <w:sz w:val="28"/>
          <w:szCs w:val="28"/>
        </w:rPr>
      </w:pP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Предпринимать любые действия, не предусмотренные инструкцией по применению;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Применять изделия при сильном ветре, ближе 30 м от строений, деревьев, легковоспламеняющихся предметов, а также изделия с признаками разрушения или с истекшим сроком годности;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Разбирать изделия;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Производить пуск детьми, с рук, направлять фейерверк на людей, животных, строения;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Продавать лицам моложе 16 лет.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Уничтожение отказавших пиротехнических изделий, с признаками разрушения или с истекшим сроком годности, следует производить замачиванием в воде не менее 8 часов с последующей утилизацией с бытовыми отходами.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За нарушение и невыполнение правил пожарной безопасности </w:t>
      </w:r>
      <w:proofErr w:type="gramStart"/>
      <w:r>
        <w:rPr>
          <w:sz w:val="28"/>
          <w:szCs w:val="28"/>
        </w:rPr>
        <w:t>руководители</w:t>
      </w:r>
      <w:proofErr w:type="gramEnd"/>
      <w:r>
        <w:rPr>
          <w:sz w:val="28"/>
          <w:szCs w:val="28"/>
        </w:rPr>
        <w:t xml:space="preserve"> и должностные лица объектов несут ответственность в соответствии с действующим законодательством.</w:t>
      </w:r>
    </w:p>
    <w:p w:rsidR="008E6B5C" w:rsidRDefault="008E6B5C">
      <w:pPr>
        <w:pStyle w:val="21"/>
        <w:rPr>
          <w:sz w:val="28"/>
          <w:szCs w:val="28"/>
        </w:rPr>
      </w:pP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организации торгового обслуживания и питания при проведении массовых мероприятий необходимо учитывать:</w:t>
      </w:r>
    </w:p>
    <w:p w:rsidR="008E6B5C" w:rsidRDefault="008E6B5C">
      <w:pPr>
        <w:pStyle w:val="21"/>
        <w:jc w:val="center"/>
        <w:rPr>
          <w:b/>
          <w:bCs/>
          <w:sz w:val="28"/>
          <w:szCs w:val="28"/>
        </w:rPr>
      </w:pP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Обеспечение свободного доступа к пожарным гидрантам и другим водоисточникам для установки пожарной и другой специальной техники.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Обеспечение свободных проходов между торговыми рядами шириной не менее 2- х метров.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Исключение применения в конструкциях временных строений легковоспламеняющихся и пожароопасных материалов.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>Исключение использования электрических гирлянд и иллюминаций, не имеющих сертификатов соответствия.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Обеспечение территории проведения мероприятий первичными средствами пожаротушения.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Оборудование деревянных строений автоматической пожарной сигнализацией (автономными пожарными извещателями).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  <w:t>Недопущение применения теплогенерирующих газобаллонных установок без технических паспортов и инструкции по безопасному их применению.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Недопущение использования противопожарных расстояний для складирования горючих веществ и материалов, и установки декораций из горючих материалов.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Исключение использования пиротехнических изделий.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Минимальные противопожарные расстояния от деревянных торговых некапитальных строений до существующих зданий и сооружений должны составлять не менее 10 метров. Допускается устанавливать указанные строения в группы высотой не более 1 этажа, площадью не более 500 кв. м. с минимальным противопожарным расстоянием между группами не менее 15 метров.</w:t>
      </w:r>
    </w:p>
    <w:p w:rsidR="008E6B5C" w:rsidRDefault="008E6B5C">
      <w:pPr>
        <w:pStyle w:val="21"/>
        <w:rPr>
          <w:sz w:val="28"/>
          <w:szCs w:val="28"/>
        </w:rPr>
      </w:pP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  <w:t>Монтаж и эксплуатации электрических сетей, электроустановок и электротехнических изделий должен осуществляться в соответствии с требованиями нормативных документов по электроэнергетике.</w:t>
      </w:r>
    </w:p>
    <w:p w:rsidR="008E6B5C" w:rsidRDefault="008E6B5C">
      <w:pPr>
        <w:pStyle w:val="af0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Распорядительным документом должен быть установлен противопожарный режим на территории, организованы дежурства ответственных лиц за обеспечение пожарной безопасности.</w:t>
      </w:r>
    </w:p>
    <w:p w:rsidR="008E6B5C" w:rsidRDefault="008E6B5C">
      <w:pPr>
        <w:pStyle w:val="21"/>
        <w:rPr>
          <w:b/>
          <w:bCs/>
          <w:sz w:val="28"/>
          <w:szCs w:val="28"/>
        </w:rPr>
      </w:pPr>
    </w:p>
    <w:p w:rsidR="008E6B5C" w:rsidRDefault="008E6B5C">
      <w:pPr>
        <w:pStyle w:val="21"/>
        <w:rPr>
          <w:b/>
          <w:bCs/>
          <w:sz w:val="28"/>
          <w:szCs w:val="28"/>
        </w:rPr>
      </w:pPr>
    </w:p>
    <w:p w:rsidR="008E6B5C" w:rsidRDefault="008E6B5C">
      <w:pPr>
        <w:pStyle w:val="21"/>
        <w:rPr>
          <w:b/>
          <w:bCs/>
          <w:sz w:val="28"/>
          <w:szCs w:val="28"/>
        </w:rPr>
      </w:pPr>
    </w:p>
    <w:p w:rsidR="008E6B5C" w:rsidRDefault="008E6B5C">
      <w:pPr>
        <w:pStyle w:val="2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нарушениях и невыполнении требований пожарной безопасности, на объектах и территориях, задействованных в проведении массовых мероприятий сообщать по «телефону доверия» Главного управления МЧС Росси</w:t>
      </w:r>
      <w:r w:rsidR="00A05DD5">
        <w:rPr>
          <w:b/>
          <w:bCs/>
          <w:sz w:val="28"/>
          <w:szCs w:val="28"/>
        </w:rPr>
        <w:t>и по</w:t>
      </w:r>
      <w:r w:rsidR="00BA061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г. Москве – 8 (495) 637-22-22.</w:t>
      </w:r>
    </w:p>
    <w:p w:rsidR="008E6B5C" w:rsidRDefault="008E6B5C">
      <w:pPr>
        <w:pStyle w:val="21"/>
        <w:rPr>
          <w:sz w:val="28"/>
          <w:szCs w:val="28"/>
        </w:rPr>
      </w:pPr>
    </w:p>
    <w:sectPr w:rsidR="008E6B5C" w:rsidSect="008E6B5C">
      <w:headerReference w:type="default" r:id="rId8"/>
      <w:type w:val="oddPage"/>
      <w:pgSz w:w="11906" w:h="16838" w:code="9"/>
      <w:pgMar w:top="851" w:right="567" w:bottom="851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9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487" w:rsidRDefault="00B75487">
      <w:r>
        <w:separator/>
      </w:r>
    </w:p>
  </w:endnote>
  <w:endnote w:type="continuationSeparator" w:id="0">
    <w:p w:rsidR="00B75487" w:rsidRDefault="00B75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487" w:rsidRDefault="00B75487">
      <w:r>
        <w:separator/>
      </w:r>
    </w:p>
  </w:footnote>
  <w:footnote w:type="continuationSeparator" w:id="0">
    <w:p w:rsidR="00B75487" w:rsidRDefault="00B75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B5C" w:rsidRDefault="008E6B5C">
    <w:pPr>
      <w:pStyle w:val="ac"/>
      <w:framePr w:wrap="auto" w:vAnchor="text" w:hAnchor="margin" w:xAlign="center" w:y="1"/>
      <w:jc w:val="center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03AB">
      <w:rPr>
        <w:rStyle w:val="ab"/>
        <w:noProof/>
      </w:rPr>
      <w:t>5</w:t>
    </w:r>
    <w:r>
      <w:rPr>
        <w:rStyle w:val="ab"/>
      </w:rPr>
      <w:fldChar w:fldCharType="end"/>
    </w:r>
  </w:p>
  <w:p w:rsidR="008E6B5C" w:rsidRDefault="008E6B5C">
    <w:pPr>
      <w:pStyle w:val="ac"/>
      <w:framePr w:wrap="auto" w:vAnchor="text" w:hAnchor="margin" w:xAlign="center" w:y="1"/>
      <w:rPr>
        <w:rStyle w:val="ab"/>
      </w:rPr>
    </w:pPr>
  </w:p>
  <w:p w:rsidR="008E6B5C" w:rsidRDefault="008E6B5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F54ED"/>
    <w:multiLevelType w:val="hybridMultilevel"/>
    <w:tmpl w:val="9A0094A4"/>
    <w:lvl w:ilvl="0" w:tplc="0419000F">
      <w:start w:val="1"/>
      <w:numFmt w:val="decimal"/>
      <w:lvlText w:val="%1."/>
      <w:lvlJc w:val="left"/>
      <w:pPr>
        <w:ind w:left="150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2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9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1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8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5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60" w:hanging="180"/>
      </w:pPr>
      <w:rPr>
        <w:rFonts w:ascii="Times New Roman" w:hAnsi="Times New Roman" w:cs="Times New Roman"/>
      </w:rPr>
    </w:lvl>
  </w:abstractNum>
  <w:abstractNum w:abstractNumId="1">
    <w:nsid w:val="4BD6058B"/>
    <w:multiLevelType w:val="singleLevel"/>
    <w:tmpl w:val="1CD22CF4"/>
    <w:lvl w:ilvl="0">
      <w:start w:val="1"/>
      <w:numFmt w:val="decimal"/>
      <w:lvlText w:val="1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B5C"/>
    <w:rsid w:val="001E101C"/>
    <w:rsid w:val="004A03AB"/>
    <w:rsid w:val="007F7BE3"/>
    <w:rsid w:val="00824EDB"/>
    <w:rsid w:val="008E6B5C"/>
    <w:rsid w:val="00A05DD5"/>
    <w:rsid w:val="00A97826"/>
    <w:rsid w:val="00B04695"/>
    <w:rsid w:val="00B75487"/>
    <w:rsid w:val="00BA061D"/>
    <w:rsid w:val="00D019C7"/>
    <w:rsid w:val="00D96DA1"/>
    <w:rsid w:val="00E0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709"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link w:val="a3"/>
    <w:uiPriority w:val="99"/>
    <w:rPr>
      <w:rFonts w:ascii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uiPriority w:val="99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99"/>
    <w:rPr>
      <w:rFonts w:ascii="Cambria" w:hAnsi="Cambria" w:cs="Cambria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Pr>
      <w:sz w:val="28"/>
      <w:szCs w:val="28"/>
    </w:rPr>
  </w:style>
  <w:style w:type="character" w:customStyle="1" w:styleId="a8">
    <w:name w:val="Основной текст Знак"/>
    <w:link w:val="a7"/>
    <w:uiPriority w:val="99"/>
    <w:rPr>
      <w:rFonts w:ascii="Times New Roman" w:hAnsi="Times New Roman" w:cs="Times New Roman"/>
      <w:sz w:val="20"/>
      <w:szCs w:val="20"/>
    </w:rPr>
  </w:style>
  <w:style w:type="paragraph" w:styleId="a9">
    <w:name w:val="Subtitle"/>
    <w:basedOn w:val="a"/>
    <w:link w:val="aa"/>
    <w:uiPriority w:val="99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a">
    <w:name w:val="Подзаголовок Знак"/>
    <w:link w:val="a9"/>
    <w:uiPriority w:val="99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pPr>
      <w:ind w:firstLine="709"/>
      <w:jc w:val="both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Pr>
      <w:rFonts w:ascii="Times New Roman" w:hAnsi="Times New Roman" w:cs="Times New Roman"/>
      <w:sz w:val="20"/>
      <w:szCs w:val="20"/>
    </w:rPr>
  </w:style>
  <w:style w:type="character" w:styleId="ab">
    <w:name w:val="page number"/>
    <w:uiPriority w:val="99"/>
    <w:rPr>
      <w:rFonts w:ascii="Times New Roman" w:hAnsi="Times New Roman" w:cs="Times New Roman"/>
    </w:rPr>
  </w:style>
  <w:style w:type="paragraph" w:styleId="ac">
    <w:name w:val="header"/>
    <w:basedOn w:val="a"/>
    <w:link w:val="ad"/>
    <w:uiPriority w:val="9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rPr>
      <w:rFonts w:ascii="Times New Roman" w:hAnsi="Times New Roman" w:cs="Times New Roman"/>
      <w:sz w:val="20"/>
      <w:szCs w:val="20"/>
    </w:rPr>
  </w:style>
  <w:style w:type="paragraph" w:styleId="ae">
    <w:name w:val="Balloon Text"/>
    <w:basedOn w:val="a"/>
    <w:link w:val="af"/>
    <w:uiPriority w:val="9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qFormat/>
    <w:pPr>
      <w:autoSpaceDE/>
      <w:autoSpaceDN/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709"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link w:val="a3"/>
    <w:uiPriority w:val="99"/>
    <w:rPr>
      <w:rFonts w:ascii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uiPriority w:val="99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99"/>
    <w:rPr>
      <w:rFonts w:ascii="Cambria" w:hAnsi="Cambria" w:cs="Cambria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Pr>
      <w:sz w:val="28"/>
      <w:szCs w:val="28"/>
    </w:rPr>
  </w:style>
  <w:style w:type="character" w:customStyle="1" w:styleId="a8">
    <w:name w:val="Основной текст Знак"/>
    <w:link w:val="a7"/>
    <w:uiPriority w:val="99"/>
    <w:rPr>
      <w:rFonts w:ascii="Times New Roman" w:hAnsi="Times New Roman" w:cs="Times New Roman"/>
      <w:sz w:val="20"/>
      <w:szCs w:val="20"/>
    </w:rPr>
  </w:style>
  <w:style w:type="paragraph" w:styleId="a9">
    <w:name w:val="Subtitle"/>
    <w:basedOn w:val="a"/>
    <w:link w:val="aa"/>
    <w:uiPriority w:val="99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a">
    <w:name w:val="Подзаголовок Знак"/>
    <w:link w:val="a9"/>
    <w:uiPriority w:val="99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pPr>
      <w:ind w:firstLine="709"/>
      <w:jc w:val="both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Pr>
      <w:rFonts w:ascii="Times New Roman" w:hAnsi="Times New Roman" w:cs="Times New Roman"/>
      <w:sz w:val="20"/>
      <w:szCs w:val="20"/>
    </w:rPr>
  </w:style>
  <w:style w:type="character" w:styleId="ab">
    <w:name w:val="page number"/>
    <w:uiPriority w:val="99"/>
    <w:rPr>
      <w:rFonts w:ascii="Times New Roman" w:hAnsi="Times New Roman" w:cs="Times New Roman"/>
    </w:rPr>
  </w:style>
  <w:style w:type="paragraph" w:styleId="ac">
    <w:name w:val="header"/>
    <w:basedOn w:val="a"/>
    <w:link w:val="ad"/>
    <w:uiPriority w:val="9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rPr>
      <w:rFonts w:ascii="Times New Roman" w:hAnsi="Times New Roman" w:cs="Times New Roman"/>
      <w:sz w:val="20"/>
      <w:szCs w:val="20"/>
    </w:rPr>
  </w:style>
  <w:style w:type="paragraph" w:styleId="ae">
    <w:name w:val="Balloon Text"/>
    <w:basedOn w:val="a"/>
    <w:link w:val="af"/>
    <w:uiPriority w:val="9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qFormat/>
    <w:pPr>
      <w:autoSpaceDE/>
      <w:autoSpaceDN/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1748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Т В Е Р Ж Д А Ю</vt:lpstr>
    </vt:vector>
  </TitlesOfParts>
  <Company>Дом</Company>
  <LinksUpToDate>false</LinksUpToDate>
  <CharactersWithSpaces>11691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 В Е Р Ж Д А Ю</dc:title>
  <dc:creator>Дима</dc:creator>
  <cp:lastModifiedBy>Армяновская Наталья Николаевна</cp:lastModifiedBy>
  <cp:revision>2</cp:revision>
  <cp:lastPrinted>2014-12-03T09:31:00Z</cp:lastPrinted>
  <dcterms:created xsi:type="dcterms:W3CDTF">2016-11-30T06:01:00Z</dcterms:created>
  <dcterms:modified xsi:type="dcterms:W3CDTF">2016-11-30T06:01:00Z</dcterms:modified>
</cp:coreProperties>
</file>